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B9" w:rsidRPr="00AB26B9" w:rsidRDefault="00AB26B9" w:rsidP="00AB26B9">
      <w:pPr>
        <w:jc w:val="center"/>
        <w:rPr>
          <w:rFonts w:hint="eastAsia"/>
          <w:b/>
          <w:sz w:val="28"/>
          <w:szCs w:val="28"/>
        </w:rPr>
      </w:pPr>
      <w:bookmarkStart w:id="0" w:name="_GoBack"/>
      <w:r w:rsidRPr="00AB26B9">
        <w:rPr>
          <w:rFonts w:hint="eastAsia"/>
          <w:b/>
          <w:sz w:val="28"/>
          <w:szCs w:val="28"/>
        </w:rPr>
        <w:t>深圳市罗湖区</w:t>
      </w:r>
      <w:r w:rsidRPr="00AB26B9">
        <w:rPr>
          <w:rFonts w:hint="eastAsia"/>
          <w:b/>
          <w:sz w:val="28"/>
          <w:szCs w:val="28"/>
        </w:rPr>
        <w:t>2017</w:t>
      </w:r>
      <w:r w:rsidRPr="00AB26B9">
        <w:rPr>
          <w:rFonts w:hint="eastAsia"/>
          <w:b/>
          <w:sz w:val="28"/>
          <w:szCs w:val="28"/>
        </w:rPr>
        <w:t>年第四批“菁英人才”拟认定人员名册</w:t>
      </w:r>
    </w:p>
    <w:bookmarkEnd w:id="0"/>
    <w:p w:rsidR="00AB26B9" w:rsidRPr="00AB26B9" w:rsidRDefault="00AB26B9" w:rsidP="00AB26B9"/>
    <w:tbl>
      <w:tblPr>
        <w:tblW w:w="9210"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40"/>
        <w:gridCol w:w="2640"/>
        <w:gridCol w:w="1065"/>
        <w:gridCol w:w="1275"/>
        <w:gridCol w:w="3090"/>
      </w:tblGrid>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noWrap/>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序号</w:t>
            </w:r>
          </w:p>
        </w:tc>
        <w:tc>
          <w:tcPr>
            <w:tcW w:w="2640" w:type="dxa"/>
            <w:tcBorders>
              <w:top w:val="outset" w:sz="6" w:space="0" w:color="000000"/>
              <w:left w:val="outset" w:sz="6" w:space="0" w:color="000000"/>
              <w:bottom w:val="outset" w:sz="6" w:space="0" w:color="000000"/>
              <w:right w:val="outset" w:sz="6" w:space="0" w:color="000000"/>
            </w:tcBorders>
            <w:noWrap/>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申报单位</w:t>
            </w:r>
          </w:p>
        </w:tc>
        <w:tc>
          <w:tcPr>
            <w:tcW w:w="1065" w:type="dxa"/>
            <w:tcBorders>
              <w:top w:val="outset" w:sz="6" w:space="0" w:color="000000"/>
              <w:left w:val="outset" w:sz="6" w:space="0" w:color="000000"/>
              <w:bottom w:val="outset" w:sz="6" w:space="0" w:color="000000"/>
              <w:right w:val="outset" w:sz="6" w:space="0" w:color="000000"/>
            </w:tcBorders>
            <w:noWrap/>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姓名</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认定</w:t>
            </w:r>
          </w:p>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 xml:space="preserve">　　类别</w:t>
            </w:r>
          </w:p>
        </w:tc>
        <w:tc>
          <w:tcPr>
            <w:tcW w:w="3090" w:type="dxa"/>
            <w:tcBorders>
              <w:top w:val="outset" w:sz="6" w:space="0" w:color="000000"/>
              <w:left w:val="outset" w:sz="6" w:space="0" w:color="000000"/>
              <w:bottom w:val="outset" w:sz="6" w:space="0" w:color="000000"/>
              <w:right w:val="outset" w:sz="6" w:space="0" w:color="000000"/>
            </w:tcBorders>
            <w:noWrap/>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认定依据</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1</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深圳智慧金睿珠宝科技有限公司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吴薇</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A类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符合《认定标准（2017）》A类第一项：已经过认定且仍在任的人才或团队带头人，具体包括：1.国家“千人计划”、“特支计划”；</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2</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中国人民财产保险股份有限公司深圳市分公司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李振平</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A类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符合《认定标准（2017）》A类第八项：连续2年年度纳税额超过5亿元人民币的企业法定代表人或一级分支机构的负责人。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3</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w:t>
            </w:r>
            <w:proofErr w:type="gramStart"/>
            <w:r w:rsidRPr="00AB26B9">
              <w:rPr>
                <w:rFonts w:ascii="微软雅黑" w:eastAsia="微软雅黑" w:hAnsi="微软雅黑" w:cs="宋体" w:hint="eastAsia"/>
                <w:kern w:val="0"/>
                <w:sz w:val="24"/>
                <w:szCs w:val="24"/>
              </w:rPr>
              <w:t>柏星龙</w:t>
            </w:r>
            <w:proofErr w:type="gramEnd"/>
            <w:r w:rsidRPr="00AB26B9">
              <w:rPr>
                <w:rFonts w:ascii="微软雅黑" w:eastAsia="微软雅黑" w:hAnsi="微软雅黑" w:cs="宋体" w:hint="eastAsia"/>
                <w:kern w:val="0"/>
                <w:sz w:val="24"/>
                <w:szCs w:val="24"/>
              </w:rPr>
              <w:t>创意包装股份有限公司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proofErr w:type="gramStart"/>
            <w:r w:rsidRPr="00AB26B9">
              <w:rPr>
                <w:rFonts w:ascii="微软雅黑" w:eastAsia="微软雅黑" w:hAnsi="微软雅黑" w:cs="宋体" w:hint="eastAsia"/>
                <w:kern w:val="0"/>
                <w:sz w:val="24"/>
                <w:szCs w:val="24"/>
              </w:rPr>
              <w:t>欧阳海翠</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A类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符合《认定标准（2017）》A类第二十四项：近5年获得过世界著名广告及包装设计奖（见附录8世界包装组织授予“世界之星”奖）最高级别奖项的设计师或设计团队负责人。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4</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w:t>
            </w:r>
            <w:proofErr w:type="gramStart"/>
            <w:r w:rsidRPr="00AB26B9">
              <w:rPr>
                <w:rFonts w:ascii="微软雅黑" w:eastAsia="微软雅黑" w:hAnsi="微软雅黑" w:cs="宋体" w:hint="eastAsia"/>
                <w:kern w:val="0"/>
                <w:sz w:val="24"/>
                <w:szCs w:val="24"/>
              </w:rPr>
              <w:t>柏星龙</w:t>
            </w:r>
            <w:proofErr w:type="gramEnd"/>
            <w:r w:rsidRPr="00AB26B9">
              <w:rPr>
                <w:rFonts w:ascii="微软雅黑" w:eastAsia="微软雅黑" w:hAnsi="微软雅黑" w:cs="宋体" w:hint="eastAsia"/>
                <w:kern w:val="0"/>
                <w:sz w:val="24"/>
                <w:szCs w:val="24"/>
              </w:rPr>
              <w:t>创意包装</w:t>
            </w:r>
            <w:r w:rsidRPr="00AB26B9">
              <w:rPr>
                <w:rFonts w:ascii="微软雅黑" w:eastAsia="微软雅黑" w:hAnsi="微软雅黑" w:cs="宋体" w:hint="eastAsia"/>
                <w:kern w:val="0"/>
                <w:sz w:val="24"/>
                <w:szCs w:val="24"/>
              </w:rPr>
              <w:lastRenderedPageBreak/>
              <w:t>股份有限公司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proofErr w:type="gramStart"/>
            <w:r w:rsidRPr="00AB26B9">
              <w:rPr>
                <w:rFonts w:ascii="微软雅黑" w:eastAsia="微软雅黑" w:hAnsi="微软雅黑" w:cs="宋体" w:hint="eastAsia"/>
                <w:kern w:val="0"/>
                <w:sz w:val="24"/>
                <w:szCs w:val="24"/>
              </w:rPr>
              <w:lastRenderedPageBreak/>
              <w:t>戴龙锋</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A类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符合《认定标准（2017）》A</w:t>
            </w:r>
            <w:r w:rsidRPr="00AB26B9">
              <w:rPr>
                <w:rFonts w:ascii="微软雅黑" w:eastAsia="微软雅黑" w:hAnsi="微软雅黑" w:cs="宋体" w:hint="eastAsia"/>
                <w:kern w:val="0"/>
                <w:sz w:val="24"/>
                <w:szCs w:val="24"/>
              </w:rPr>
              <w:lastRenderedPageBreak/>
              <w:t>类第二十四项：近5年获得过世界著名广告及包装设计奖（见附录8世界包装组织授予“世界之星”奖）最高级别奖项的设计师或设计团队负责人。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lastRenderedPageBreak/>
              <w:t>5</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w:t>
            </w:r>
            <w:proofErr w:type="gramStart"/>
            <w:r w:rsidRPr="00AB26B9">
              <w:rPr>
                <w:rFonts w:ascii="微软雅黑" w:eastAsia="微软雅黑" w:hAnsi="微软雅黑" w:cs="宋体" w:hint="eastAsia"/>
                <w:kern w:val="0"/>
                <w:sz w:val="24"/>
                <w:szCs w:val="24"/>
              </w:rPr>
              <w:t>柏星龙</w:t>
            </w:r>
            <w:proofErr w:type="gramEnd"/>
            <w:r w:rsidRPr="00AB26B9">
              <w:rPr>
                <w:rFonts w:ascii="微软雅黑" w:eastAsia="微软雅黑" w:hAnsi="微软雅黑" w:cs="宋体" w:hint="eastAsia"/>
                <w:kern w:val="0"/>
                <w:sz w:val="24"/>
                <w:szCs w:val="24"/>
              </w:rPr>
              <w:t>创意包装股份有限公司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赵国</w:t>
            </w:r>
            <w:proofErr w:type="gramStart"/>
            <w:r w:rsidRPr="00AB26B9">
              <w:rPr>
                <w:rFonts w:ascii="微软雅黑" w:eastAsia="微软雅黑" w:hAnsi="微软雅黑" w:cs="宋体" w:hint="eastAsia"/>
                <w:kern w:val="0"/>
                <w:sz w:val="24"/>
                <w:szCs w:val="24"/>
              </w:rPr>
              <w:t>祥</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A类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符合《认定标准（2017）》A类第二十四项：近5年获得过世界著名广告及包装设计奖（见附录8世界包装组织授予“世界之星”奖）最高级别奖项的设计师或设计团队负责人。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6</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陈鑫</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7</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国信证券股份有限公司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proofErr w:type="gramStart"/>
            <w:r w:rsidRPr="00AB26B9">
              <w:rPr>
                <w:rFonts w:ascii="微软雅黑" w:eastAsia="微软雅黑" w:hAnsi="微软雅黑" w:cs="宋体" w:hint="eastAsia"/>
                <w:kern w:val="0"/>
                <w:sz w:val="24"/>
                <w:szCs w:val="24"/>
              </w:rPr>
              <w:t>颜利燕</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符合《认定标准（2017）》B类第一项：已经过认定且仍在任的人才，包括：4.深圳市地方级领军人才；</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8</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国信证券股份有限公司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单兴</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 xml:space="preserve">符合《认定标准（2017）》B类第十四项：在银行业工作2年以上，获得特许金融分析师 </w:t>
            </w:r>
            <w:r w:rsidRPr="00AB26B9">
              <w:rPr>
                <w:rFonts w:ascii="微软雅黑" w:eastAsia="微软雅黑" w:hAnsi="微软雅黑" w:cs="宋体" w:hint="eastAsia"/>
                <w:kern w:val="0"/>
                <w:sz w:val="24"/>
                <w:szCs w:val="24"/>
              </w:rPr>
              <w:lastRenderedPageBreak/>
              <w:t>(CFA)、国际金融理财师（CFP）、金融风险管理师（FRM）、跟单信用证专家（CDCS）、特许公认会计师公会会员（ACCA）及国际项目管理协会（IPMA）考试通过者，并且连续2年个人所得税纳税额超过12万元人民币的人员。（各总行及分行1年仅可申报2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lastRenderedPageBreak/>
              <w:t>9</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协同通信技术有限公司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陈仲钊</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符合《认定标准（2017）》B类第二项：近5年，担任以下职务者：9.省、部（重点）实验室主任、学术委员会主任，省、部工程实验室主任，省、部工程研究中心主任；</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10</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毕马威华</w:t>
            </w:r>
            <w:proofErr w:type="gramStart"/>
            <w:r w:rsidRPr="00AB26B9">
              <w:rPr>
                <w:rFonts w:ascii="微软雅黑" w:eastAsia="微软雅黑" w:hAnsi="微软雅黑" w:cs="宋体" w:hint="eastAsia"/>
                <w:kern w:val="0"/>
                <w:sz w:val="24"/>
                <w:szCs w:val="24"/>
              </w:rPr>
              <w:t>振</w:t>
            </w:r>
            <w:proofErr w:type="gramEnd"/>
            <w:r w:rsidRPr="00AB26B9">
              <w:rPr>
                <w:rFonts w:ascii="微软雅黑" w:eastAsia="微软雅黑" w:hAnsi="微软雅黑" w:cs="宋体" w:hint="eastAsia"/>
                <w:kern w:val="0"/>
                <w:sz w:val="24"/>
                <w:szCs w:val="24"/>
              </w:rPr>
              <w:t>会计师事务所（特殊普通合伙）深圳分所</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proofErr w:type="gramStart"/>
            <w:r w:rsidRPr="00AB26B9">
              <w:rPr>
                <w:rFonts w:ascii="微软雅黑" w:eastAsia="微软雅黑" w:hAnsi="微软雅黑" w:cs="宋体" w:hint="eastAsia"/>
                <w:kern w:val="0"/>
                <w:sz w:val="24"/>
                <w:szCs w:val="24"/>
              </w:rPr>
              <w:t>邓</w:t>
            </w:r>
            <w:proofErr w:type="gramEnd"/>
            <w:r w:rsidRPr="00AB26B9">
              <w:rPr>
                <w:rFonts w:ascii="微软雅黑" w:eastAsia="微软雅黑" w:hAnsi="微软雅黑" w:cs="宋体" w:hint="eastAsia"/>
                <w:kern w:val="0"/>
                <w:sz w:val="24"/>
                <w:szCs w:val="24"/>
              </w:rPr>
              <w:t>浩然</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符合《认定标准（2017）》B类第二十三项：近2年，在中国注册会计师协会发布的“会计师事务所综合评价前百家”排名前20位的会计师事务所的总所及分所担任高级经理</w:t>
            </w:r>
            <w:r w:rsidRPr="00AB26B9">
              <w:rPr>
                <w:rFonts w:ascii="微软雅黑" w:eastAsia="微软雅黑" w:hAnsi="微软雅黑" w:cs="宋体" w:hint="eastAsia"/>
                <w:kern w:val="0"/>
                <w:sz w:val="24"/>
                <w:szCs w:val="24"/>
              </w:rPr>
              <w:lastRenderedPageBreak/>
              <w:t>以上职务超过5年，并持有注册会计师证书的人员。（各总所及分所1年仅可申报2人）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lastRenderedPageBreak/>
              <w:t>11</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普华永道中天会计师事务所(特殊普通合伙)深圳分所</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proofErr w:type="gramStart"/>
            <w:r w:rsidRPr="00AB26B9">
              <w:rPr>
                <w:rFonts w:ascii="微软雅黑" w:eastAsia="微软雅黑" w:hAnsi="微软雅黑" w:cs="宋体" w:hint="eastAsia"/>
                <w:kern w:val="0"/>
                <w:sz w:val="24"/>
                <w:szCs w:val="24"/>
              </w:rPr>
              <w:t>林崇云</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B类第二十三项：近2年，在中国注册会计师协会发布的“会计师事务所综合评价前百家”排名前20位的会计师事务所的总所及分所担任高级经理以上职务超过5年，并持有注册会计师证书的人员。（各总所及分所1年仅可申报2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12</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普华永道中天会计师事务所(特殊普通合伙)深圳分所</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姚文平</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B类第二十三项：近2年，在中国注册会计师协会发布的“会计师事务所综合评价前百家”排名前20位的会计师事务所的总所及分所担任高级经理以上职务超过5年，并持有注册会计师证书的人员。（各总所及分所1年仅可申报2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13</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深圳市中装建设集团股</w:t>
            </w:r>
            <w:r w:rsidRPr="00AB26B9">
              <w:rPr>
                <w:rFonts w:ascii="微软雅黑" w:eastAsia="微软雅黑" w:hAnsi="微软雅黑" w:cs="宋体" w:hint="eastAsia"/>
                <w:kern w:val="0"/>
                <w:sz w:val="24"/>
                <w:szCs w:val="24"/>
              </w:rPr>
              <w:lastRenderedPageBreak/>
              <w:t>份有限公司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lastRenderedPageBreak/>
              <w:t>庄重</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符合《认定标准（2017）》B</w:t>
            </w:r>
            <w:r w:rsidRPr="00AB26B9">
              <w:rPr>
                <w:rFonts w:ascii="微软雅黑" w:eastAsia="微软雅黑" w:hAnsi="微软雅黑" w:cs="宋体" w:hint="eastAsia"/>
                <w:kern w:val="0"/>
                <w:sz w:val="24"/>
                <w:szCs w:val="24"/>
              </w:rPr>
              <w:lastRenderedPageBreak/>
              <w:t>类第十三项：近5年，担任以下职务者：3.带领企业在境内外新上市且公司总部在罗湖区注册的企业法定代表人（每单位限报1人）；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lastRenderedPageBreak/>
              <w:t>14</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深圳市中装建设集团股份有限公司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proofErr w:type="gramStart"/>
            <w:r w:rsidRPr="00AB26B9">
              <w:rPr>
                <w:rFonts w:ascii="微软雅黑" w:eastAsia="微软雅黑" w:hAnsi="微软雅黑" w:cs="宋体" w:hint="eastAsia"/>
                <w:kern w:val="0"/>
                <w:sz w:val="24"/>
                <w:szCs w:val="24"/>
              </w:rPr>
              <w:t>庄超喜</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符合《认定标准（2017）》B类第三十一项：近 5 年，获得鲁班奖并已取得国家一级建造师资格证书的项目经理（每单位每年限报 1 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15</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w:t>
            </w:r>
            <w:proofErr w:type="gramStart"/>
            <w:r w:rsidRPr="00AB26B9">
              <w:rPr>
                <w:rFonts w:ascii="微软雅黑" w:eastAsia="微软雅黑" w:hAnsi="微软雅黑" w:cs="宋体" w:hint="eastAsia"/>
                <w:kern w:val="0"/>
                <w:sz w:val="24"/>
                <w:szCs w:val="24"/>
              </w:rPr>
              <w:t>世</w:t>
            </w:r>
            <w:proofErr w:type="gramEnd"/>
            <w:r w:rsidRPr="00AB26B9">
              <w:rPr>
                <w:rFonts w:ascii="微软雅黑" w:eastAsia="微软雅黑" w:hAnsi="微软雅黑" w:cs="宋体" w:hint="eastAsia"/>
                <w:kern w:val="0"/>
                <w:sz w:val="24"/>
                <w:szCs w:val="24"/>
              </w:rPr>
              <w:t>联行地产顾问股份有限公司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袁鸿昌</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符合《认定标准（2017）》B类第十三项：近5年，担任以下职务者：2.连续 3 年获得《新财富》所评选</w:t>
            </w:r>
            <w:proofErr w:type="gramStart"/>
            <w:r w:rsidRPr="00AB26B9">
              <w:rPr>
                <w:rFonts w:ascii="微软雅黑" w:eastAsia="微软雅黑" w:hAnsi="微软雅黑" w:cs="宋体" w:hint="eastAsia"/>
                <w:kern w:val="0"/>
                <w:sz w:val="24"/>
                <w:szCs w:val="24"/>
              </w:rPr>
              <w:t>金牌董秘称号</w:t>
            </w:r>
            <w:proofErr w:type="gramEnd"/>
            <w:r w:rsidRPr="00AB26B9">
              <w:rPr>
                <w:rFonts w:ascii="微软雅黑" w:eastAsia="微软雅黑" w:hAnsi="微软雅黑" w:cs="宋体" w:hint="eastAsia"/>
                <w:kern w:val="0"/>
                <w:sz w:val="24"/>
                <w:szCs w:val="24"/>
              </w:rPr>
              <w:t>; ;</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16</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广深铁路股份有限公司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郭向东</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符合《认定标准（2017）》B类第十三项：近5年，担任以下职务者：2.连续 3 年获得《新财富》所评选</w:t>
            </w:r>
            <w:proofErr w:type="gramStart"/>
            <w:r w:rsidRPr="00AB26B9">
              <w:rPr>
                <w:rFonts w:ascii="微软雅黑" w:eastAsia="微软雅黑" w:hAnsi="微软雅黑" w:cs="宋体" w:hint="eastAsia"/>
                <w:kern w:val="0"/>
                <w:sz w:val="24"/>
                <w:szCs w:val="24"/>
              </w:rPr>
              <w:t>金牌董秘称号</w:t>
            </w:r>
            <w:proofErr w:type="gramEnd"/>
            <w:r w:rsidRPr="00AB26B9">
              <w:rPr>
                <w:rFonts w:ascii="微软雅黑" w:eastAsia="微软雅黑" w:hAnsi="微软雅黑" w:cs="宋体" w:hint="eastAsia"/>
                <w:kern w:val="0"/>
                <w:sz w:val="24"/>
                <w:szCs w:val="24"/>
              </w:rPr>
              <w:t xml:space="preserve"> ;</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17</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深圳市物业发展（集团）股份有限公司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范维平</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B类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符合《认定标准（2017）》B类第十三项：近5年，担任以</w:t>
            </w:r>
            <w:r w:rsidRPr="00AB26B9">
              <w:rPr>
                <w:rFonts w:ascii="微软雅黑" w:eastAsia="微软雅黑" w:hAnsi="微软雅黑" w:cs="宋体" w:hint="eastAsia"/>
                <w:kern w:val="0"/>
                <w:sz w:val="24"/>
                <w:szCs w:val="24"/>
              </w:rPr>
              <w:lastRenderedPageBreak/>
              <w:t>下职务者：2.连续 3 年获得《新财富》所评选</w:t>
            </w:r>
            <w:proofErr w:type="gramStart"/>
            <w:r w:rsidRPr="00AB26B9">
              <w:rPr>
                <w:rFonts w:ascii="微软雅黑" w:eastAsia="微软雅黑" w:hAnsi="微软雅黑" w:cs="宋体" w:hint="eastAsia"/>
                <w:kern w:val="0"/>
                <w:sz w:val="24"/>
                <w:szCs w:val="24"/>
              </w:rPr>
              <w:t>金牌董秘称号</w:t>
            </w:r>
            <w:proofErr w:type="gramEnd"/>
            <w:r w:rsidRPr="00AB26B9">
              <w:rPr>
                <w:rFonts w:ascii="微软雅黑" w:eastAsia="微软雅黑" w:hAnsi="微软雅黑" w:cs="宋体" w:hint="eastAsia"/>
                <w:kern w:val="0"/>
                <w:sz w:val="24"/>
                <w:szCs w:val="24"/>
              </w:rPr>
              <w:t xml:space="preserve"> ;</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lastRenderedPageBreak/>
              <w:t>18</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proofErr w:type="gramStart"/>
            <w:r w:rsidRPr="00AB26B9">
              <w:rPr>
                <w:rFonts w:ascii="微软雅黑" w:eastAsia="微软雅黑" w:hAnsi="微软雅黑" w:cs="宋体" w:hint="eastAsia"/>
                <w:kern w:val="0"/>
                <w:sz w:val="24"/>
                <w:szCs w:val="24"/>
              </w:rPr>
              <w:t>黄天逊</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19</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冯湘屏</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20</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杨波</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21</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proofErr w:type="gramStart"/>
            <w:r w:rsidRPr="00AB26B9">
              <w:rPr>
                <w:rFonts w:ascii="微软雅黑" w:eastAsia="微软雅黑" w:hAnsi="微软雅黑" w:cs="宋体" w:hint="eastAsia"/>
                <w:kern w:val="0"/>
                <w:sz w:val="24"/>
                <w:szCs w:val="24"/>
              </w:rPr>
              <w:t>简杰</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22</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李林森</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23</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proofErr w:type="gramStart"/>
            <w:r w:rsidRPr="00AB26B9">
              <w:rPr>
                <w:rFonts w:ascii="微软雅黑" w:eastAsia="微软雅黑" w:hAnsi="微软雅黑" w:cs="宋体" w:hint="eastAsia"/>
                <w:kern w:val="0"/>
                <w:sz w:val="24"/>
                <w:szCs w:val="24"/>
              </w:rPr>
              <w:t>张松振</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24</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陈</w:t>
            </w:r>
            <w:proofErr w:type="gramStart"/>
            <w:r w:rsidRPr="00AB26B9">
              <w:rPr>
                <w:rFonts w:ascii="微软雅黑" w:eastAsia="微软雅黑" w:hAnsi="微软雅黑" w:cs="宋体" w:hint="eastAsia"/>
                <w:kern w:val="0"/>
                <w:sz w:val="24"/>
                <w:szCs w:val="24"/>
              </w:rPr>
              <w:t>予想</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25</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樊济才</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26</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郑焦</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27</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深圳市瀚海基因生物科</w:t>
            </w:r>
            <w:r w:rsidRPr="00AB26B9">
              <w:rPr>
                <w:rFonts w:ascii="微软雅黑" w:eastAsia="微软雅黑" w:hAnsi="微软雅黑" w:cs="宋体" w:hint="eastAsia"/>
                <w:kern w:val="0"/>
                <w:sz w:val="24"/>
                <w:szCs w:val="24"/>
              </w:rPr>
              <w:lastRenderedPageBreak/>
              <w:t>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lastRenderedPageBreak/>
              <w:t>徐伟彬</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“菁英团队”认定</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lastRenderedPageBreak/>
              <w:t>28</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深圳福来士新能源有限公司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李</w:t>
            </w:r>
            <w:proofErr w:type="gramStart"/>
            <w:r w:rsidRPr="00AB26B9">
              <w:rPr>
                <w:rFonts w:ascii="微软雅黑" w:eastAsia="微软雅黑" w:hAnsi="微软雅黑" w:cs="宋体" w:hint="eastAsia"/>
                <w:kern w:val="0"/>
                <w:sz w:val="24"/>
                <w:szCs w:val="24"/>
              </w:rPr>
              <w:t>暾</w:t>
            </w:r>
            <w:proofErr w:type="gramEnd"/>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C类第一项：具有2年以上工作经历，在罗湖注册并实际经营超过6个月的初创型企业创始人或核心团队成员，须持有20%以上股权，且具备以下条件之一的：3.曾在美国《财富》杂志世界500强上榜公司的二级公司或地区总部担任中层管理人员；</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29</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w:t>
            </w:r>
            <w:proofErr w:type="gramStart"/>
            <w:r w:rsidRPr="00AB26B9">
              <w:rPr>
                <w:rFonts w:ascii="微软雅黑" w:eastAsia="微软雅黑" w:hAnsi="微软雅黑" w:cs="宋体" w:hint="eastAsia"/>
                <w:kern w:val="0"/>
                <w:sz w:val="24"/>
                <w:szCs w:val="24"/>
              </w:rPr>
              <w:t>网间云信息技术</w:t>
            </w:r>
            <w:proofErr w:type="gramEnd"/>
            <w:r w:rsidRPr="00AB26B9">
              <w:rPr>
                <w:rFonts w:ascii="微软雅黑" w:eastAsia="微软雅黑" w:hAnsi="微软雅黑" w:cs="宋体" w:hint="eastAsia"/>
                <w:kern w:val="0"/>
                <w:sz w:val="24"/>
                <w:szCs w:val="24"/>
              </w:rPr>
              <w:t>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蔡亚玲</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符合《认定标准（2017）》C类第四项：获得</w:t>
            </w:r>
            <w:proofErr w:type="gramStart"/>
            <w:r w:rsidRPr="00AB26B9">
              <w:rPr>
                <w:rFonts w:ascii="微软雅黑" w:eastAsia="微软雅黑" w:hAnsi="微软雅黑" w:cs="宋体" w:hint="eastAsia"/>
                <w:kern w:val="0"/>
                <w:sz w:val="24"/>
                <w:szCs w:val="24"/>
              </w:rPr>
              <w:t>深圳市科创委</w:t>
            </w:r>
            <w:proofErr w:type="gramEnd"/>
            <w:r w:rsidRPr="00AB26B9">
              <w:rPr>
                <w:rFonts w:ascii="微软雅黑" w:eastAsia="微软雅黑" w:hAnsi="微软雅黑" w:cs="宋体" w:hint="eastAsia"/>
                <w:kern w:val="0"/>
                <w:sz w:val="24"/>
                <w:szCs w:val="24"/>
              </w:rPr>
              <w:t>资助30万以上的创业项目团队核心成员。（每单位限报1人）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30</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深圳喜宝来科技有限公司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顾国雄</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符合《认定标准（2017）》C类第四项：获得</w:t>
            </w:r>
            <w:proofErr w:type="gramStart"/>
            <w:r w:rsidRPr="00AB26B9">
              <w:rPr>
                <w:rFonts w:ascii="微软雅黑" w:eastAsia="微软雅黑" w:hAnsi="微软雅黑" w:cs="宋体" w:hint="eastAsia"/>
                <w:kern w:val="0"/>
                <w:sz w:val="24"/>
                <w:szCs w:val="24"/>
              </w:rPr>
              <w:t>深圳市科创委</w:t>
            </w:r>
            <w:proofErr w:type="gramEnd"/>
            <w:r w:rsidRPr="00AB26B9">
              <w:rPr>
                <w:rFonts w:ascii="微软雅黑" w:eastAsia="微软雅黑" w:hAnsi="微软雅黑" w:cs="宋体" w:hint="eastAsia"/>
                <w:kern w:val="0"/>
                <w:sz w:val="24"/>
                <w:szCs w:val="24"/>
              </w:rPr>
              <w:t>资助30万以上的创业项目团队核心成员。（每单位限报1人）</w:t>
            </w:r>
          </w:p>
        </w:tc>
      </w:tr>
      <w:tr w:rsidR="00AB26B9" w:rsidRPr="00AB26B9" w:rsidTr="00AB26B9">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31</w:t>
            </w:r>
          </w:p>
        </w:tc>
        <w:tc>
          <w:tcPr>
            <w:tcW w:w="264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深圳市</w:t>
            </w:r>
            <w:proofErr w:type="gramStart"/>
            <w:r w:rsidRPr="00AB26B9">
              <w:rPr>
                <w:rFonts w:ascii="微软雅黑" w:eastAsia="微软雅黑" w:hAnsi="微软雅黑" w:cs="宋体" w:hint="eastAsia"/>
                <w:kern w:val="0"/>
                <w:sz w:val="24"/>
                <w:szCs w:val="24"/>
              </w:rPr>
              <w:t>宏济医疗</w:t>
            </w:r>
            <w:proofErr w:type="gramEnd"/>
            <w:r w:rsidRPr="00AB26B9">
              <w:rPr>
                <w:rFonts w:ascii="微软雅黑" w:eastAsia="微软雅黑" w:hAnsi="微软雅黑" w:cs="宋体" w:hint="eastAsia"/>
                <w:kern w:val="0"/>
                <w:sz w:val="24"/>
                <w:szCs w:val="24"/>
              </w:rPr>
              <w:t>技术开</w:t>
            </w:r>
            <w:r w:rsidRPr="00AB26B9">
              <w:rPr>
                <w:rFonts w:ascii="微软雅黑" w:eastAsia="微软雅黑" w:hAnsi="微软雅黑" w:cs="宋体" w:hint="eastAsia"/>
                <w:kern w:val="0"/>
                <w:sz w:val="24"/>
                <w:szCs w:val="24"/>
              </w:rPr>
              <w:lastRenderedPageBreak/>
              <w:t>发有限公司</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lastRenderedPageBreak/>
              <w:t>谭永宏</w:t>
            </w: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center"/>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C类</w:t>
            </w:r>
          </w:p>
        </w:tc>
        <w:tc>
          <w:tcPr>
            <w:tcW w:w="3090" w:type="dxa"/>
            <w:tcBorders>
              <w:top w:val="outset" w:sz="6" w:space="0" w:color="000000"/>
              <w:left w:val="outset" w:sz="6" w:space="0" w:color="000000"/>
              <w:bottom w:val="outset" w:sz="6" w:space="0" w:color="000000"/>
              <w:right w:val="outset" w:sz="6" w:space="0" w:color="000000"/>
            </w:tcBorders>
            <w:vAlign w:val="center"/>
            <w:hideMark/>
          </w:tcPr>
          <w:p w:rsidR="00AB26B9" w:rsidRPr="00AB26B9" w:rsidRDefault="00AB26B9" w:rsidP="00AB26B9">
            <w:pPr>
              <w:widowControl/>
              <w:spacing w:before="100" w:beforeAutospacing="1" w:after="100" w:afterAutospacing="1" w:line="330" w:lineRule="atLeast"/>
              <w:jc w:val="left"/>
              <w:rPr>
                <w:rFonts w:ascii="微软雅黑" w:eastAsia="微软雅黑" w:hAnsi="微软雅黑" w:cs="宋体"/>
                <w:kern w:val="0"/>
                <w:sz w:val="24"/>
                <w:szCs w:val="24"/>
              </w:rPr>
            </w:pPr>
            <w:r w:rsidRPr="00AB26B9">
              <w:rPr>
                <w:rFonts w:ascii="微软雅黑" w:eastAsia="微软雅黑" w:hAnsi="微软雅黑" w:cs="宋体" w:hint="eastAsia"/>
                <w:kern w:val="0"/>
                <w:sz w:val="24"/>
                <w:szCs w:val="24"/>
              </w:rPr>
              <w:t>符合《认定标准（2017）》C</w:t>
            </w:r>
            <w:r w:rsidRPr="00AB26B9">
              <w:rPr>
                <w:rFonts w:ascii="微软雅黑" w:eastAsia="微软雅黑" w:hAnsi="微软雅黑" w:cs="宋体" w:hint="eastAsia"/>
                <w:kern w:val="0"/>
                <w:sz w:val="24"/>
                <w:szCs w:val="24"/>
              </w:rPr>
              <w:lastRenderedPageBreak/>
              <w:t>类第四项：获得</w:t>
            </w:r>
            <w:proofErr w:type="gramStart"/>
            <w:r w:rsidRPr="00AB26B9">
              <w:rPr>
                <w:rFonts w:ascii="微软雅黑" w:eastAsia="微软雅黑" w:hAnsi="微软雅黑" w:cs="宋体" w:hint="eastAsia"/>
                <w:kern w:val="0"/>
                <w:sz w:val="24"/>
                <w:szCs w:val="24"/>
              </w:rPr>
              <w:t>深圳市科创委</w:t>
            </w:r>
            <w:proofErr w:type="gramEnd"/>
            <w:r w:rsidRPr="00AB26B9">
              <w:rPr>
                <w:rFonts w:ascii="微软雅黑" w:eastAsia="微软雅黑" w:hAnsi="微软雅黑" w:cs="宋体" w:hint="eastAsia"/>
                <w:kern w:val="0"/>
                <w:sz w:val="24"/>
                <w:szCs w:val="24"/>
              </w:rPr>
              <w:t>资助30万以上的创业项目团队核心成员。（每单位限报1人）</w:t>
            </w:r>
          </w:p>
        </w:tc>
      </w:tr>
    </w:tbl>
    <w:p w:rsidR="00784C0D" w:rsidRDefault="00784C0D"/>
    <w:sectPr w:rsidR="00784C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B9"/>
    <w:rsid w:val="00784C0D"/>
    <w:rsid w:val="00AB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91461">
      <w:bodyDiv w:val="1"/>
      <w:marLeft w:val="0"/>
      <w:marRight w:val="0"/>
      <w:marTop w:val="0"/>
      <w:marBottom w:val="0"/>
      <w:divBdr>
        <w:top w:val="none" w:sz="0" w:space="0" w:color="auto"/>
        <w:left w:val="none" w:sz="0" w:space="0" w:color="auto"/>
        <w:bottom w:val="none" w:sz="0" w:space="0" w:color="auto"/>
        <w:right w:val="none" w:sz="0" w:space="0" w:color="auto"/>
      </w:divBdr>
      <w:divsChild>
        <w:div w:id="1987591357">
          <w:marLeft w:val="0"/>
          <w:marRight w:val="0"/>
          <w:marTop w:val="0"/>
          <w:marBottom w:val="0"/>
          <w:divBdr>
            <w:top w:val="none" w:sz="0" w:space="0" w:color="auto"/>
            <w:left w:val="none" w:sz="0" w:space="0" w:color="auto"/>
            <w:bottom w:val="none" w:sz="0" w:space="0" w:color="auto"/>
            <w:right w:val="none" w:sz="0" w:space="0" w:color="auto"/>
          </w:divBdr>
          <w:divsChild>
            <w:div w:id="2100565110">
              <w:marLeft w:val="0"/>
              <w:marRight w:val="0"/>
              <w:marTop w:val="0"/>
              <w:marBottom w:val="0"/>
              <w:divBdr>
                <w:top w:val="none" w:sz="0" w:space="0" w:color="auto"/>
                <w:left w:val="none" w:sz="0" w:space="0" w:color="auto"/>
                <w:bottom w:val="none" w:sz="0" w:space="0" w:color="auto"/>
                <w:right w:val="none" w:sz="0" w:space="0" w:color="auto"/>
              </w:divBdr>
              <w:divsChild>
                <w:div w:id="1229995239">
                  <w:marLeft w:val="0"/>
                  <w:marRight w:val="0"/>
                  <w:marTop w:val="0"/>
                  <w:marBottom w:val="0"/>
                  <w:divBdr>
                    <w:top w:val="none" w:sz="0" w:space="0" w:color="auto"/>
                    <w:left w:val="none" w:sz="0" w:space="0" w:color="auto"/>
                    <w:bottom w:val="none" w:sz="0" w:space="0" w:color="auto"/>
                    <w:right w:val="none" w:sz="0" w:space="0" w:color="auto"/>
                  </w:divBdr>
                  <w:divsChild>
                    <w:div w:id="480464937">
                      <w:marLeft w:val="0"/>
                      <w:marRight w:val="0"/>
                      <w:marTop w:val="0"/>
                      <w:marBottom w:val="0"/>
                      <w:divBdr>
                        <w:top w:val="none" w:sz="0" w:space="0" w:color="auto"/>
                        <w:left w:val="none" w:sz="0" w:space="0" w:color="auto"/>
                        <w:bottom w:val="none" w:sz="0" w:space="0" w:color="auto"/>
                        <w:right w:val="none" w:sz="0" w:space="0" w:color="auto"/>
                      </w:divBdr>
                      <w:divsChild>
                        <w:div w:id="8928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391</Words>
  <Characters>2234</Characters>
  <Application>Microsoft Office Word</Application>
  <DocSecurity>0</DocSecurity>
  <Lines>18</Lines>
  <Paragraphs>5</Paragraphs>
  <ScaleCrop>false</ScaleCrop>
  <Company>china</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2018-01-09T08:39:00Z</dcterms:created>
  <dcterms:modified xsi:type="dcterms:W3CDTF">2018-01-09T08:40:00Z</dcterms:modified>
</cp:coreProperties>
</file>